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8F" w:rsidRDefault="00DF348F">
      <w:r>
        <w:fldChar w:fldCharType="begin"/>
      </w:r>
      <w:r>
        <w:instrText xml:space="preserve"> LINK Excel.Sheet.8 "D:\\квартальный отчет за 2 кв.2016 готовый к размещению\\0503160.xlsx" "Титул. лист!R1C1:R74C5" \a \f 4 \h </w:instrText>
      </w:r>
      <w:r>
        <w:fldChar w:fldCharType="separate"/>
      </w:r>
    </w:p>
    <w:tbl>
      <w:tblPr>
        <w:tblW w:w="14055" w:type="dxa"/>
        <w:tblInd w:w="87" w:type="dxa"/>
        <w:tblLook w:val="04A0"/>
      </w:tblPr>
      <w:tblGrid>
        <w:gridCol w:w="5804"/>
        <w:gridCol w:w="1220"/>
        <w:gridCol w:w="1120"/>
        <w:gridCol w:w="222"/>
        <w:gridCol w:w="5689"/>
      </w:tblGrid>
      <w:tr w:rsidR="00DF348F" w:rsidRPr="00DF348F" w:rsidTr="00DF348F">
        <w:trPr>
          <w:trHeight w:val="25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70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F348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                            ПОЯСНИТЕЛЬНАЯ ЗАПИСКА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5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КОДЫ</w:t>
            </w: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0503160</w:t>
            </w:r>
          </w:p>
        </w:tc>
      </w:tr>
      <w:tr w:rsidR="00DF348F" w:rsidRPr="00DF348F" w:rsidTr="00DF348F">
        <w:trPr>
          <w:trHeight w:val="282"/>
        </w:trPr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на  1 июля  2016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01.07.2016</w:t>
            </w:r>
          </w:p>
        </w:tc>
      </w:tr>
      <w:tr w:rsidR="00DF348F" w:rsidRPr="00DF348F" w:rsidTr="00DF348F">
        <w:trPr>
          <w:trHeight w:val="300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Главный распорядитель, распорядитель,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19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получатель бюджетных средств,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19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главный администратор,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77400520</w:t>
            </w:r>
          </w:p>
        </w:tc>
      </w:tr>
      <w:tr w:rsidR="00DF348F" w:rsidRPr="00DF348F" w:rsidTr="00DF348F">
        <w:trPr>
          <w:trHeight w:val="19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администратор доходов бюджета,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по  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19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главный администратор, администратор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991</w:t>
            </w:r>
          </w:p>
        </w:tc>
      </w:tr>
      <w:tr w:rsidR="00DF348F" w:rsidRPr="00DF348F" w:rsidTr="00DF348F">
        <w:trPr>
          <w:trHeight w:val="19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источников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195"/>
        </w:trPr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дефицита бюджета         Администрация Юрьевского сельского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19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Котельничского</w:t>
            </w:r>
            <w:proofErr w:type="spell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района Кировской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31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210"/>
        </w:trPr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(публично-правового образования)     Бюджет Юрьевского сельского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33619494</w:t>
            </w:r>
          </w:p>
        </w:tc>
      </w:tr>
      <w:tr w:rsidR="00DF348F" w:rsidRPr="00DF348F" w:rsidTr="00DF348F">
        <w:trPr>
          <w:trHeight w:val="210"/>
        </w:trPr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                      </w:t>
            </w:r>
            <w:proofErr w:type="spell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Котельничского</w:t>
            </w:r>
            <w:proofErr w:type="spell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района Кировской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315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Периодичность:    квартальная, годовая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Единица измерения: </w:t>
            </w:r>
            <w:proofErr w:type="spell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по ОКЕИ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383</w:t>
            </w: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ind w:right="-464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Раздел 1. Организационная структура субъекта бюджетной отчетности</w:t>
            </w:r>
            <w:proofErr w:type="gram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br/>
              <w:t>В</w:t>
            </w:r>
            <w:proofErr w:type="gram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отчет включены следующие получатели бюджетных средств:</w:t>
            </w: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br/>
              <w:t>Администрация Юрьевского сельского поселения, действующая на основании Устава, зарегистрированного решением Юрьевской сельской думы 31.07.2015 г. № 131, ОГРН 1054307527614 и МКУК "Центр досуга и библиотечного обслуживания" Юрьевского сельского поселения образован 01 августа 2011 г. и действует на основании Устава, утвержденного распоряжением главы администрации от 28.07.2011г. № 60, ОГРН № 1074313000080. Действующая Юрьевская сельская дума расходов не имеет.</w:t>
            </w: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br/>
              <w:t xml:space="preserve">На основании главы администрации Юрьевского сельского поселения № 37 от 24.12.2010 данные учреждения являются казенными с 01.01.2011 г. Организованы для создания условий благоприятного проживания на данной территории  поселения. </w:t>
            </w: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br/>
              <w:t xml:space="preserve">Администраторами доходов бюджета сельского поселения являются: УФНС России по Кировской области, код 182, Управление имуществом и земельными ресурсами </w:t>
            </w:r>
            <w:proofErr w:type="spell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Котельничского</w:t>
            </w:r>
            <w:proofErr w:type="spell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района Кировской области, код 919, и Администрация Юрьевского сельского поселения, код 991. Бюджет Юрьевского сельского поселения </w:t>
            </w:r>
            <w:proofErr w:type="spell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Котельничского</w:t>
            </w:r>
            <w:proofErr w:type="spell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района Кировской области на 2016 год утвержден Решением Юрьевской сельской Думы № 143 от 24.12.2015 г. Должностным лицом с правом 1й подписи является глава администрации, должностным лицом с правом 2й подписи является специалист 2й категории - главный бухгалтер.</w:t>
            </w: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870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70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Раздел 2 Результаты деятельности субъекта бюджетной деятельности </w:t>
            </w:r>
          </w:p>
        </w:tc>
      </w:tr>
      <w:tr w:rsidR="00DF348F" w:rsidRPr="00DF348F" w:rsidTr="00DF348F">
        <w:trPr>
          <w:trHeight w:val="424"/>
        </w:trPr>
        <w:tc>
          <w:tcPr>
            <w:tcW w:w="1405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348F" w:rsidRPr="00DF348F" w:rsidRDefault="00DF348F" w:rsidP="00DF348F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По разделу 01 Общегосударственные расходы - численность работников составляет 4,5 штатных единиц, в том числе по подразделу 0102 "Функционирование высшего должностного лица субъекта РФ и муниципального образования" численность составляет 1,0 штатных единиц,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численность составляет 3,5 штатных единиц.</w:t>
            </w:r>
            <w:proofErr w:type="gram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Обеспеченность основными фондами на сумму 664 т.р.</w:t>
            </w: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br/>
              <w:t xml:space="preserve">По разделу 08 "Культура и кинематография"  занято штатных единиц 4,0, в том числе по подразделу 0801 "Культура" 4 штатных единицы. Обеспеченность основными фондами на сумму 937 т.р. </w:t>
            </w: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br/>
              <w:t>Курсы повышения квалификации главой администрации и муниципальными служащими за отчетный период не посещались. Муниципальных программ на 2016 год не предусмотрено.</w:t>
            </w:r>
          </w:p>
        </w:tc>
      </w:tr>
      <w:tr w:rsidR="00DF348F" w:rsidRPr="00DF348F" w:rsidTr="00DF348F">
        <w:trPr>
          <w:trHeight w:val="3090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Раздел 3. Анализ отчета об использовании бюджета субъектом бюджетной деятельности</w:t>
            </w:r>
          </w:p>
        </w:tc>
      </w:tr>
      <w:tr w:rsidR="00DF348F" w:rsidRPr="00DF348F" w:rsidTr="00DF348F">
        <w:trPr>
          <w:trHeight w:val="1350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Решением сельской Думы № 143 от 24.12.2015 г. утверждены объемы  доходов и в сумме 2 253 400,00 и объемы расходов 2 253 400,00 р. Остатки на начало года – 8791.40 р. Остаток на начало года распределен на раздел 04 «Национальная экономика» в сумме 8791.40 рублей. </w:t>
            </w: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br/>
              <w:t>На 01.07.2016 г. поступило доходов   960 080.18 р. в том числе от деятельности, приносящей доход 7440,00 р. Доходная часть исполнена на 42.00%. Расходная часть исполнена в сумме 947 456.13 р. или на 41.88%.</w:t>
            </w: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Раздел 4 Анализ показателей финансовой отчетности субъекта бюджетной отчетности. </w:t>
            </w:r>
          </w:p>
        </w:tc>
      </w:tr>
      <w:tr w:rsidR="00DF348F" w:rsidRPr="00DF348F" w:rsidTr="00DF348F">
        <w:trPr>
          <w:trHeight w:val="1125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Просроченной дебиторской и кредиторской задолженности нет. Текущая кредиторская задолженность на 01.07.2016 составила    115205.06 руб., в т.ч. по ОСГУ 211 "Заработная плата"  63589.63 р., ОСГУ 213 "Начисления на выплаты по оплате труда"   28428.27 р. Изменения остатков валюты баланса не было.</w:t>
            </w: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br/>
              <w:t>За отчетный период недостач и хищений не установлено.</w:t>
            </w: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Раздел 5. Прочие вопросы деятельности субъекта бюджетной отчетности</w:t>
            </w:r>
          </w:p>
        </w:tc>
      </w:tr>
      <w:tr w:rsidR="00DF348F" w:rsidRPr="00DF348F" w:rsidTr="00DF348F">
        <w:trPr>
          <w:trHeight w:val="1245"/>
        </w:trPr>
        <w:tc>
          <w:tcPr>
            <w:tcW w:w="1405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Бухгалтерский учет ведется в соответствии с Инструкцией по бюджетному учету, утвержденному приказом МФ РФ от 01 декабря 2011 г. № 157н. Квартальный отчет составлен в соответствии с приказом № 191н от 28.12.2010 г. Все должностные лица в течение отчетного периода осуществляют внутренний финансовый контроль в пределах своих полномочий. Осуществляется предварительный, текущий и последующий финансовый </w:t>
            </w:r>
            <w:proofErr w:type="spell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контроль</w:t>
            </w:r>
            <w:proofErr w:type="gram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.Н</w:t>
            </w:r>
            <w:proofErr w:type="gram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арушений</w:t>
            </w:r>
            <w:proofErr w:type="spell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не выявлено. За отчетный период инвентаризация нефинансовых активов, денежных средств и обязательств не проводилась. Бухгалтерский учет ведется с помощью автоматизированного программного комплекса "СМЕТА-КС" и "ЗАРПЛАТА-КС".</w:t>
            </w: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184"/>
        </w:trPr>
        <w:tc>
          <w:tcPr>
            <w:tcW w:w="1405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345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В связи с отсутствием числовых значений показателей не приложены к пояснительной записке: </w:t>
            </w:r>
          </w:p>
        </w:tc>
      </w:tr>
      <w:tr w:rsidR="00DF348F" w:rsidRPr="00DF348F" w:rsidTr="00DF348F">
        <w:trPr>
          <w:trHeight w:val="285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Форма по ОКУД 0503178 "Сведения об остатках денежных средств на счетах получателя бюджетных средств"</w:t>
            </w:r>
          </w:p>
        </w:tc>
      </w:tr>
      <w:tr w:rsidR="00DF348F" w:rsidRPr="00DF348F" w:rsidTr="00DF348F">
        <w:trPr>
          <w:trHeight w:val="285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Таблица № 3 "Сведения об исполнении текстовых статей закона (решения) о бюджете"</w:t>
            </w:r>
          </w:p>
        </w:tc>
      </w:tr>
      <w:tr w:rsidR="00DF348F" w:rsidRPr="00DF348F" w:rsidTr="00DF348F">
        <w:trPr>
          <w:trHeight w:val="270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315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300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315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330"/>
        </w:trPr>
        <w:tc>
          <w:tcPr>
            <w:tcW w:w="1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Руководитель    ___________________         </w:t>
            </w:r>
            <w:proofErr w:type="spell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А.Н.Береснев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10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           (подпись)                      (расшифровка подписи)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Руководитель планов</w:t>
            </w:r>
            <w:proofErr w:type="gramStart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о-</w:t>
            </w:r>
            <w:proofErr w:type="gramEnd"/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____________________       А.С.Плотников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25"/>
        </w:trPr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экономической службы           (подпись)                           (расшифровка подписи)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282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Главный             ________________________        А.С.Плотников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195"/>
        </w:trPr>
        <w:tc>
          <w:tcPr>
            <w:tcW w:w="7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бухгалтер                   (подпись)                                (расшифровка подписи)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DF348F" w:rsidRPr="00DF348F" w:rsidTr="00DF348F">
        <w:trPr>
          <w:trHeight w:val="450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F348F">
              <w:rPr>
                <w:rFonts w:ascii="Arial CYR" w:eastAsia="Times New Roman" w:hAnsi="Arial CYR" w:cs="Arial CYR"/>
                <w:sz w:val="16"/>
                <w:szCs w:val="16"/>
              </w:rPr>
              <w:t>" 05 " июля  2016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48F" w:rsidRPr="00DF348F" w:rsidRDefault="00DF348F" w:rsidP="00DF34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935A51" w:rsidRDefault="00DF348F">
      <w:r>
        <w:fldChar w:fldCharType="end"/>
      </w:r>
    </w:p>
    <w:sectPr w:rsidR="00935A51" w:rsidSect="00DF3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48F"/>
    <w:rsid w:val="00935A51"/>
    <w:rsid w:val="00D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Heisenberg</dc:creator>
  <cp:keywords/>
  <dc:description/>
  <cp:lastModifiedBy>Heisenberg</cp:lastModifiedBy>
  <cp:revision>2</cp:revision>
  <dcterms:created xsi:type="dcterms:W3CDTF">2016-08-08T11:02:00Z</dcterms:created>
  <dcterms:modified xsi:type="dcterms:W3CDTF">2016-08-08T11:04:00Z</dcterms:modified>
</cp:coreProperties>
</file>