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28.08.2014                                                                                                            № 87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образования  Юрьевского сельского поселения на 01.07.2014 года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№131-ФЗ, статьи 22 Устава муниципального образования Юрьевское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Кировской  области, принятого решением Юрьевской сельской Думы от 31.08.2006 №36, на основании постановления Правительства Кировской  области от 12.04.2011 №98/120 « О расходах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rPr>
          <w:sz w:val="28"/>
          <w:szCs w:val="28"/>
        </w:rPr>
        <w:t xml:space="preserve">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Кировской  области», письма  Финансового Управления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от 26.06.2014 № 13-14/4 и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необходимостью приведения в соответствие  оплаты труда </w:t>
      </w:r>
      <w:proofErr w:type="gramStart"/>
      <w:r>
        <w:rPr>
          <w:sz w:val="28"/>
          <w:szCs w:val="28"/>
        </w:rPr>
        <w:t>работников, осуществляющих первичный воинский учёт  Юрьевская сельская Дума РЕШИЛА</w:t>
      </w:r>
      <w:proofErr w:type="gramEnd"/>
      <w:r>
        <w:rPr>
          <w:sz w:val="28"/>
          <w:szCs w:val="28"/>
        </w:rPr>
        <w:t>:</w:t>
      </w:r>
    </w:p>
    <w:p w:rsidR="00120F31" w:rsidRDefault="00120F31" w:rsidP="00120F31">
      <w:pPr>
        <w:ind w:firstLine="540"/>
        <w:jc w:val="both"/>
        <w:rPr>
          <w:sz w:val="28"/>
          <w:szCs w:val="28"/>
        </w:rPr>
      </w:pPr>
    </w:p>
    <w:p w:rsidR="00120F31" w:rsidRDefault="00120F31" w:rsidP="00120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  1 сентября  2014 года  новую структуру администрации Юрьевского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Кировской  области. (Прилагается).</w:t>
      </w:r>
    </w:p>
    <w:p w:rsidR="00120F31" w:rsidRDefault="00120F31" w:rsidP="00120F31">
      <w:pPr>
        <w:ind w:firstLine="540"/>
        <w:jc w:val="both"/>
        <w:rPr>
          <w:sz w:val="28"/>
          <w:szCs w:val="28"/>
        </w:rPr>
      </w:pPr>
    </w:p>
    <w:p w:rsidR="00120F31" w:rsidRDefault="00120F31" w:rsidP="00120F31">
      <w:pPr>
        <w:ind w:firstLine="540"/>
        <w:jc w:val="both"/>
        <w:rPr>
          <w:sz w:val="28"/>
          <w:szCs w:val="28"/>
        </w:rPr>
      </w:pPr>
    </w:p>
    <w:p w:rsidR="00120F31" w:rsidRDefault="00120F31" w:rsidP="00120F31">
      <w:pPr>
        <w:ind w:firstLine="540"/>
        <w:rPr>
          <w:sz w:val="28"/>
          <w:szCs w:val="28"/>
        </w:rPr>
      </w:pPr>
    </w:p>
    <w:p w:rsidR="00120F31" w:rsidRDefault="00120F31" w:rsidP="00120F31">
      <w:pPr>
        <w:ind w:firstLine="540"/>
        <w:rPr>
          <w:sz w:val="28"/>
          <w:szCs w:val="28"/>
        </w:rPr>
      </w:pPr>
    </w:p>
    <w:p w:rsidR="00120F31" w:rsidRDefault="00120F31" w:rsidP="00120F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0F31" w:rsidRDefault="00120F31" w:rsidP="00120F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 -                              В.И.Плотников</w:t>
      </w:r>
    </w:p>
    <w:p w:rsidR="00120F31" w:rsidRDefault="00120F31" w:rsidP="00120F31">
      <w:pPr>
        <w:ind w:firstLine="540"/>
        <w:rPr>
          <w:sz w:val="28"/>
          <w:szCs w:val="28"/>
        </w:rPr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  <w:sectPr w:rsidR="00120F31" w:rsidSect="005B218F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120F31" w:rsidRDefault="00120F31" w:rsidP="00120F31">
      <w:pPr>
        <w:ind w:left="10635"/>
      </w:pPr>
      <w:r>
        <w:lastRenderedPageBreak/>
        <w:t xml:space="preserve">УТВЕРЖДЕНО </w:t>
      </w:r>
    </w:p>
    <w:p w:rsidR="00120F31" w:rsidRDefault="00120F31" w:rsidP="00120F31">
      <w:pPr>
        <w:ind w:left="10635"/>
      </w:pPr>
      <w:r>
        <w:t xml:space="preserve">решением Юрьевской сельской Думы </w:t>
      </w:r>
    </w:p>
    <w:p w:rsidR="00120F31" w:rsidRDefault="00120F31" w:rsidP="00120F31">
      <w:pPr>
        <w:ind w:left="10635"/>
      </w:pPr>
      <w:r>
        <w:t>от 29.08.2014  № 87</w:t>
      </w: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  <w:r>
        <w:t xml:space="preserve">Председатель  сельской Думы- </w:t>
      </w:r>
    </w:p>
    <w:p w:rsidR="00120F31" w:rsidRDefault="00120F31" w:rsidP="00120F31">
      <w:pPr>
        <w:ind w:left="10635"/>
      </w:pPr>
      <w:r>
        <w:t xml:space="preserve">                                   В.И.Плотников</w:t>
      </w:r>
    </w:p>
    <w:p w:rsidR="00120F31" w:rsidRDefault="00120F31" w:rsidP="00120F31">
      <w:pPr>
        <w:ind w:left="10635"/>
      </w:pPr>
    </w:p>
    <w:p w:rsidR="00120F31" w:rsidRDefault="00120F31" w:rsidP="00120F31">
      <w:pPr>
        <w:ind w:left="-15"/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120F31" w:rsidRDefault="00120F31" w:rsidP="00120F31">
      <w:pPr>
        <w:ind w:left="-15"/>
        <w:jc w:val="center"/>
        <w:rPr>
          <w:b/>
          <w:bCs/>
        </w:rPr>
      </w:pPr>
      <w:r>
        <w:rPr>
          <w:b/>
          <w:bCs/>
        </w:rPr>
        <w:t xml:space="preserve">АДМИНИСТРАЦИИ ЮРЬЕВСКОГО СЕЛЬСКОГО ПОСЕЛЕНИЯ    </w:t>
      </w:r>
    </w:p>
    <w:p w:rsidR="00120F31" w:rsidRDefault="00120F31" w:rsidP="00120F31">
      <w:pPr>
        <w:ind w:left="-15"/>
        <w:jc w:val="center"/>
        <w:rPr>
          <w:b/>
          <w:bCs/>
        </w:rPr>
      </w:pPr>
    </w:p>
    <w:p w:rsidR="00120F31" w:rsidRDefault="00120F31" w:rsidP="00120F31">
      <w:pPr>
        <w:ind w:left="-15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tbl>
      <w:tblPr>
        <w:tblW w:w="0" w:type="auto"/>
        <w:tblInd w:w="50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5"/>
      </w:tblGrid>
      <w:tr w:rsidR="00120F31" w:rsidTr="00D47EA9">
        <w:tc>
          <w:tcPr>
            <w:tcW w:w="5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120F31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ПОСЕЛЕНИЯ</w:t>
            </w:r>
          </w:p>
        </w:tc>
      </w:tr>
    </w:tbl>
    <w:p w:rsidR="00120F31" w:rsidRDefault="001857AC" w:rsidP="00120F31">
      <w:pPr>
        <w:ind w:left="-15"/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9.55pt;margin-top:.9pt;width:54pt;height:260.25pt;flip:x;z-index:25166643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31" type="#_x0000_t32" style="position:absolute;left:0;text-align:left;margin-left:230.05pt;margin-top:.9pt;width:73.5pt;height:174.7pt;flip:x;z-index:251665408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28" type="#_x0000_t32" style="position:absolute;left:0;text-align:left;margin-left:533.05pt;margin-top:.9pt;width:43.5pt;height:104.25pt;z-index:251662336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27" type="#_x0000_t32" style="position:absolute;left:0;text-align:left;margin-left:148.3pt;margin-top:.9pt;width:101.25pt;height:99pt;flip:x;z-index:25166131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26" type="#_x0000_t32" style="position:absolute;left:0;text-align:left;margin-left:381.55pt;margin-top:.9pt;width:0;height:25.5pt;z-index:251660288;mso-position-horizontal-relative:text;mso-position-vertical-relative:text" o:connectortype="straight">
            <v:stroke endarrow="block"/>
          </v:shape>
        </w:pict>
      </w:r>
    </w:p>
    <w:p w:rsidR="00120F31" w:rsidRDefault="00120F31" w:rsidP="00120F31">
      <w:pPr>
        <w:ind w:left="-15"/>
        <w:jc w:val="center"/>
        <w:rPr>
          <w:b/>
          <w:bCs/>
        </w:rPr>
      </w:pPr>
    </w:p>
    <w:tbl>
      <w:tblPr>
        <w:tblW w:w="0" w:type="auto"/>
        <w:tblInd w:w="64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</w:tblGrid>
      <w:tr w:rsidR="00120F31" w:rsidTr="00D47EA9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120F31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>
              <w:rPr>
                <w:b/>
                <w:bCs/>
              </w:rPr>
              <w:t>Юрьевского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120F31" w:rsidRDefault="00120F31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</w:tc>
      </w:tr>
    </w:tbl>
    <w:p w:rsidR="00120F31" w:rsidRDefault="00120F31" w:rsidP="00120F31"/>
    <w:p w:rsidR="00120F31" w:rsidRDefault="00120F31" w:rsidP="00120F31"/>
    <w:p w:rsidR="00120F31" w:rsidRDefault="00120F31" w:rsidP="00120F31"/>
    <w:tbl>
      <w:tblPr>
        <w:tblW w:w="0" w:type="auto"/>
        <w:tblInd w:w="14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4"/>
      </w:tblGrid>
      <w:tr w:rsidR="00120F31" w:rsidTr="00D47EA9">
        <w:tc>
          <w:tcPr>
            <w:tcW w:w="3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120F31" w:rsidP="00D47EA9">
            <w:pPr>
              <w:pStyle w:val="a3"/>
              <w:ind w:left="-56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Специалист 2 категории -  </w:t>
            </w:r>
          </w:p>
          <w:p w:rsidR="00120F31" w:rsidRDefault="001857AC" w:rsidP="00D47EA9">
            <w:pPr>
              <w:pStyle w:val="a3"/>
              <w:ind w:left="-5672"/>
              <w:jc w:val="right"/>
            </w:pPr>
            <w:r w:rsidRPr="001857AC">
              <w:rPr>
                <w:b/>
                <w:bCs/>
                <w:noProof/>
                <w:lang w:eastAsia="ru-RU"/>
              </w:rPr>
              <w:pict>
                <v:shape id="_x0000_s1030" type="#_x0000_t32" style="position:absolute;left:0;text-align:left;margin-left:482pt;margin-top:12.75pt;width:30pt;height:43.5pt;z-index:251664384" o:connectortype="straight">
                  <v:stroke endarrow="block"/>
                </v:shape>
              </w:pict>
            </w:r>
            <w:r w:rsidRPr="001857AC">
              <w:rPr>
                <w:b/>
                <w:bCs/>
                <w:noProof/>
                <w:lang w:eastAsia="ru-RU"/>
              </w:rPr>
              <w:pict>
                <v:shape id="_x0000_s1029" type="#_x0000_t32" style="position:absolute;left:0;text-align:left;margin-left:375.5pt;margin-top:12.8pt;width:49.5pt;height:43.5pt;flip:x;z-index:251663360" o:connectortype="straight">
                  <v:stroke endarrow="block"/>
                </v:shape>
              </w:pict>
            </w:r>
            <w:r w:rsidR="00120F31">
              <w:rPr>
                <w:b/>
                <w:bCs/>
              </w:rPr>
              <w:t xml:space="preserve">главный бухгалтер </w:t>
            </w:r>
            <w:r w:rsidR="00120F31">
              <w:t xml:space="preserve">      </w:t>
            </w:r>
          </w:p>
        </w:tc>
      </w:tr>
    </w:tbl>
    <w:p w:rsidR="00120F31" w:rsidRDefault="00120F31" w:rsidP="00120F31"/>
    <w:tbl>
      <w:tblPr>
        <w:tblpPr w:leftFromText="180" w:rightFromText="180" w:vertAnchor="text" w:tblpX="9664" w:tblpY="-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120F31" w:rsidTr="00D47EA9">
        <w:trPr>
          <w:trHeight w:val="330"/>
        </w:trPr>
        <w:tc>
          <w:tcPr>
            <w:tcW w:w="2943" w:type="dxa"/>
          </w:tcPr>
          <w:p w:rsidR="00120F31" w:rsidRDefault="00120F31" w:rsidP="00D47EA9">
            <w:pPr>
              <w:rPr>
                <w:b/>
              </w:rPr>
            </w:pPr>
            <w:r w:rsidRPr="005A6B27">
              <w:rPr>
                <w:b/>
              </w:rPr>
              <w:t>Специалист 1 категории</w:t>
            </w:r>
          </w:p>
          <w:p w:rsidR="00120F31" w:rsidRPr="005A6B27" w:rsidRDefault="00120F31" w:rsidP="00D47EA9">
            <w:pPr>
              <w:rPr>
                <w:b/>
              </w:rPr>
            </w:pPr>
          </w:p>
        </w:tc>
      </w:tr>
    </w:tbl>
    <w:p w:rsidR="00120F31" w:rsidRDefault="00120F31" w:rsidP="00120F31"/>
    <w:p w:rsidR="00120F31" w:rsidRDefault="00120F31" w:rsidP="00120F31">
      <w:r>
        <w:t xml:space="preserve">                    </w:t>
      </w:r>
    </w:p>
    <w:tbl>
      <w:tblPr>
        <w:tblW w:w="11595" w:type="dxa"/>
        <w:tblInd w:w="1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2"/>
        <w:gridCol w:w="2132"/>
        <w:gridCol w:w="2508"/>
        <w:gridCol w:w="824"/>
        <w:gridCol w:w="2959"/>
      </w:tblGrid>
      <w:tr w:rsidR="00120F31" w:rsidTr="00D47EA9">
        <w:trPr>
          <w:trHeight w:val="1095"/>
        </w:trPr>
        <w:tc>
          <w:tcPr>
            <w:tcW w:w="3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120F31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инспектор - делопроизводитель</w:t>
            </w:r>
          </w:p>
        </w:tc>
        <w:tc>
          <w:tcPr>
            <w:tcW w:w="213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0F31" w:rsidRDefault="00120F31" w:rsidP="00D47EA9">
            <w:pPr>
              <w:widowControl/>
              <w:suppressAutoHyphens w:val="0"/>
            </w:pPr>
          </w:p>
          <w:p w:rsidR="00120F31" w:rsidRDefault="00120F31" w:rsidP="00D47EA9">
            <w:pPr>
              <w:widowControl/>
              <w:suppressAutoHyphens w:val="0"/>
            </w:pPr>
          </w:p>
          <w:p w:rsidR="00120F31" w:rsidRDefault="00120F31" w:rsidP="00D47EA9">
            <w:pPr>
              <w:widowControl/>
              <w:suppressAutoHyphens w:val="0"/>
            </w:pPr>
          </w:p>
          <w:p w:rsidR="00120F31" w:rsidRDefault="00120F31" w:rsidP="00D47EA9">
            <w:pPr>
              <w:widowControl/>
              <w:suppressAutoHyphens w:val="0"/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31" w:rsidRPr="005A6B27" w:rsidRDefault="00120F31" w:rsidP="00D47EA9">
            <w:pPr>
              <w:widowControl/>
              <w:suppressAutoHyphens w:val="0"/>
              <w:jc w:val="center"/>
              <w:rPr>
                <w:b/>
              </w:rPr>
            </w:pPr>
            <w:r w:rsidRPr="005A6B27">
              <w:rPr>
                <w:b/>
              </w:rPr>
              <w:t>Специалист 2 категории - бухгалтер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</w:tcPr>
          <w:p w:rsidR="00120F31" w:rsidRDefault="00120F31" w:rsidP="00D47EA9">
            <w:pPr>
              <w:widowControl/>
              <w:suppressAutoHyphens w:val="0"/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31" w:rsidRDefault="00120F31" w:rsidP="00D47EA9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Уборщики</w:t>
            </w:r>
          </w:p>
          <w:p w:rsidR="00120F31" w:rsidRPr="005A6B27" w:rsidRDefault="00120F31" w:rsidP="00D47EA9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 xml:space="preserve">помещений </w:t>
            </w:r>
          </w:p>
        </w:tc>
      </w:tr>
    </w:tbl>
    <w:p w:rsidR="00120F31" w:rsidRDefault="00120F31" w:rsidP="00120F31">
      <w:r>
        <w:t xml:space="preserve">     </w:t>
      </w:r>
    </w:p>
    <w:tbl>
      <w:tblPr>
        <w:tblW w:w="0" w:type="auto"/>
        <w:tblInd w:w="1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0"/>
      </w:tblGrid>
      <w:tr w:rsidR="00120F31" w:rsidTr="00D47EA9"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120F31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Инспектор - делопроизводитель </w:t>
            </w:r>
          </w:p>
        </w:tc>
      </w:tr>
    </w:tbl>
    <w:p w:rsidR="00C7157F" w:rsidRDefault="00C7157F" w:rsidP="00416615">
      <w:pPr>
        <w:jc w:val="center"/>
      </w:pPr>
    </w:p>
    <w:sectPr w:rsidR="00C7157F" w:rsidSect="00416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1659E9"/>
    <w:multiLevelType w:val="hybridMultilevel"/>
    <w:tmpl w:val="0696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31"/>
    <w:rsid w:val="00063B51"/>
    <w:rsid w:val="00071671"/>
    <w:rsid w:val="00120F31"/>
    <w:rsid w:val="001857AC"/>
    <w:rsid w:val="00416615"/>
    <w:rsid w:val="00540770"/>
    <w:rsid w:val="007278FB"/>
    <w:rsid w:val="00C7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2"/>
        <o:r id="V:Rule9" type="connector" idref="#_x0000_s1029"/>
        <o:r id="V:Rule10" type="connector" idref="#_x0000_s1027"/>
        <o:r id="V:Rule11" type="connector" idref="#_x0000_s1026"/>
        <o:r id="V:Rule12" type="connector" idref="#_x0000_s1028"/>
        <o:r id="V:Rule13" type="connector" idref="#_x0000_s1030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20F31"/>
    <w:pPr>
      <w:keepNext/>
      <w:ind w:left="720" w:hanging="360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120F31"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qFormat/>
    <w:rsid w:val="00120F31"/>
    <w:pPr>
      <w:keepNext/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F31"/>
    <w:rPr>
      <w:rFonts w:ascii="Times New Roman CYR" w:eastAsia="Arial Unicode MS" w:hAnsi="Times New Roman CYR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120F31"/>
    <w:rPr>
      <w:rFonts w:ascii="Times New Roman CYR" w:eastAsia="Arial Unicode MS" w:hAnsi="Times New Roman CYR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120F31"/>
    <w:rPr>
      <w:rFonts w:ascii="Times New Roman" w:eastAsia="Arial Unicode MS" w:hAnsi="Times New Roman" w:cs="Times New Roman"/>
      <w:kern w:val="1"/>
      <w:sz w:val="28"/>
      <w:szCs w:val="29"/>
    </w:rPr>
  </w:style>
  <w:style w:type="paragraph" w:customStyle="1" w:styleId="a3">
    <w:name w:val="Содержимое таблицы"/>
    <w:basedOn w:val="a"/>
    <w:rsid w:val="00120F31"/>
    <w:pPr>
      <w:suppressLineNumbers/>
    </w:pPr>
  </w:style>
  <w:style w:type="paragraph" w:styleId="a4">
    <w:name w:val="Body Text Indent"/>
    <w:basedOn w:val="a"/>
    <w:link w:val="a5"/>
    <w:semiHidden/>
    <w:rsid w:val="00120F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20F3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120F3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2014-11-07T12:18:00Z</dcterms:created>
  <dcterms:modified xsi:type="dcterms:W3CDTF">2014-11-07T12:18:00Z</dcterms:modified>
</cp:coreProperties>
</file>