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7" w:rsidRDefault="00976787" w:rsidP="00976787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976787" w:rsidRDefault="00976787" w:rsidP="00976787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976787" w:rsidRDefault="00976787" w:rsidP="0097678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976787" w:rsidRDefault="00976787" w:rsidP="00976787">
      <w:pPr>
        <w:jc w:val="center"/>
      </w:pPr>
    </w:p>
    <w:p w:rsidR="00976787" w:rsidRDefault="00976787" w:rsidP="00976787">
      <w:pPr>
        <w:jc w:val="center"/>
      </w:pPr>
    </w:p>
    <w:p w:rsidR="00976787" w:rsidRDefault="00976787" w:rsidP="00976787">
      <w:pPr>
        <w:ind w:right="1280"/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976787" w:rsidRDefault="00976787" w:rsidP="0097678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976787" w:rsidTr="00574A8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76787" w:rsidRPr="00D3102C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12.02.2015</w:t>
            </w:r>
          </w:p>
        </w:tc>
        <w:tc>
          <w:tcPr>
            <w:tcW w:w="6060" w:type="dxa"/>
            <w:hideMark/>
          </w:tcPr>
          <w:p w:rsidR="00976787" w:rsidRDefault="00976787" w:rsidP="00574A88">
            <w:pPr>
              <w:pStyle w:val="a3"/>
              <w:snapToGrid w:val="0"/>
              <w:ind w:left="708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106</w:t>
            </w:r>
          </w:p>
        </w:tc>
      </w:tr>
      <w:tr w:rsidR="00976787" w:rsidTr="00574A88">
        <w:tc>
          <w:tcPr>
            <w:tcW w:w="1710" w:type="dxa"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76787" w:rsidRDefault="00976787" w:rsidP="00976787">
      <w:pPr>
        <w:jc w:val="center"/>
        <w:rPr>
          <w:kern w:val="2"/>
        </w:rPr>
      </w:pPr>
    </w:p>
    <w:p w:rsidR="00976787" w:rsidRDefault="00976787" w:rsidP="00976787">
      <w:pPr>
        <w:jc w:val="center"/>
        <w:rPr>
          <w:szCs w:val="29"/>
        </w:rPr>
      </w:pPr>
    </w:p>
    <w:tbl>
      <w:tblPr>
        <w:tblW w:w="944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"/>
        <w:gridCol w:w="7035"/>
        <w:gridCol w:w="1544"/>
      </w:tblGrid>
      <w:tr w:rsidR="00976787" w:rsidTr="00574A88">
        <w:tc>
          <w:tcPr>
            <w:tcW w:w="864" w:type="dxa"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передаче части полномочий в сфере </w:t>
            </w:r>
          </w:p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архитектуры и  градостроительства </w:t>
            </w:r>
          </w:p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муниципальному образованию </w:t>
            </w:r>
          </w:p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Котельничский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и</w:t>
            </w:r>
          </w:p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об утверждении методики  расчёта межбюджетных трансфертов для осуществления </w:t>
            </w:r>
          </w:p>
          <w:p w:rsidR="00976787" w:rsidRDefault="00976787" w:rsidP="00574A88">
            <w:pPr>
              <w:snapToGrid w:val="0"/>
              <w:ind w:left="-709" w:right="5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передаваемых полномочий</w:t>
            </w:r>
          </w:p>
        </w:tc>
        <w:tc>
          <w:tcPr>
            <w:tcW w:w="1544" w:type="dxa"/>
          </w:tcPr>
          <w:p w:rsidR="00976787" w:rsidRDefault="00976787" w:rsidP="00574A88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76787" w:rsidRDefault="00976787" w:rsidP="00976787">
      <w:pPr>
        <w:jc w:val="center"/>
        <w:rPr>
          <w:kern w:val="2"/>
        </w:rPr>
      </w:pPr>
    </w:p>
    <w:p w:rsidR="00976787" w:rsidRDefault="00976787" w:rsidP="00976787">
      <w:pPr>
        <w:ind w:left="20" w:right="5" w:firstLine="780"/>
        <w:jc w:val="both"/>
        <w:rPr>
          <w:sz w:val="28"/>
          <w:szCs w:val="28"/>
        </w:rPr>
      </w:pPr>
    </w:p>
    <w:p w:rsidR="00976787" w:rsidRDefault="00976787" w:rsidP="00976787">
      <w:pPr>
        <w:ind w:left="20" w:right="5" w:firstLine="7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статьёй 8 Градостроительного кодекса Российской Федерации и пунктом 20 статьи 8 Устава  Юрьевского сельского поселения о передаче отдельных полномочий по решению вопросов местного значения муниципальному образованию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 за счёт средств межбюджетных трансфертов Юрьевская сельская Дума РЕШИЛА:</w:t>
      </w:r>
    </w:p>
    <w:p w:rsidR="00976787" w:rsidRDefault="00976787" w:rsidP="00976787">
      <w:pPr>
        <w:numPr>
          <w:ilvl w:val="0"/>
          <w:numId w:val="3"/>
        </w:numPr>
        <w:tabs>
          <w:tab w:val="clear" w:pos="36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полномочия по решению вопросов местного значения  в сфере архитектуры и градостроительства муниципальному образованию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район.</w:t>
      </w:r>
    </w:p>
    <w:p w:rsidR="00976787" w:rsidRDefault="00976787" w:rsidP="00976787">
      <w:pPr>
        <w:numPr>
          <w:ilvl w:val="0"/>
          <w:numId w:val="3"/>
        </w:numPr>
        <w:tabs>
          <w:tab w:val="clear" w:pos="36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расчёта субвенции на осуществление полномочий в сфере  архитектуры и градостроительства. Прилагается.</w:t>
      </w:r>
    </w:p>
    <w:p w:rsidR="00976787" w:rsidRDefault="00976787" w:rsidP="00976787">
      <w:pPr>
        <w:numPr>
          <w:ilvl w:val="0"/>
          <w:numId w:val="3"/>
        </w:numPr>
        <w:tabs>
          <w:tab w:val="clear" w:pos="36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финансовый норматив — 0,2.</w:t>
      </w:r>
    </w:p>
    <w:p w:rsidR="00976787" w:rsidRDefault="00976787" w:rsidP="00976787">
      <w:pPr>
        <w:numPr>
          <w:ilvl w:val="0"/>
          <w:numId w:val="3"/>
        </w:numPr>
        <w:tabs>
          <w:tab w:val="clear" w:pos="360"/>
          <w:tab w:val="left" w:pos="740"/>
        </w:tabs>
        <w:ind w:left="740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расчёт средств межбюджетных трансфертов  на оплату переданных полномочий в 2015 году. Прилагается.</w:t>
      </w:r>
    </w:p>
    <w:p w:rsidR="00976787" w:rsidRDefault="00976787" w:rsidP="00976787">
      <w:pPr>
        <w:tabs>
          <w:tab w:val="left" w:pos="740"/>
        </w:tabs>
        <w:ind w:left="740" w:right="5"/>
        <w:jc w:val="both"/>
        <w:rPr>
          <w:sz w:val="28"/>
          <w:szCs w:val="28"/>
        </w:rPr>
      </w:pPr>
    </w:p>
    <w:p w:rsidR="00976787" w:rsidRDefault="00976787" w:rsidP="00976787">
      <w:pPr>
        <w:pStyle w:val="a3"/>
        <w:snapToGrid w:val="0"/>
        <w:rPr>
          <w:sz w:val="28"/>
          <w:szCs w:val="28"/>
        </w:rPr>
      </w:pPr>
    </w:p>
    <w:p w:rsidR="00976787" w:rsidRDefault="00976787" w:rsidP="00976787">
      <w:pPr>
        <w:pStyle w:val="a3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Юрьевского</w:t>
      </w:r>
      <w:proofErr w:type="gramEnd"/>
      <w:r>
        <w:rPr>
          <w:sz w:val="28"/>
          <w:szCs w:val="28"/>
        </w:rPr>
        <w:t xml:space="preserve"> </w:t>
      </w:r>
    </w:p>
    <w:p w:rsidR="00976787" w:rsidRDefault="00976787" w:rsidP="00976787">
      <w:pPr>
        <w:pStyle w:val="a3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-                                     В.И.Плотников</w:t>
      </w:r>
    </w:p>
    <w:p w:rsidR="00976787" w:rsidRPr="006617A6" w:rsidRDefault="00976787" w:rsidP="00976787">
      <w:r>
        <w:rPr>
          <w:sz w:val="28"/>
          <w:szCs w:val="28"/>
        </w:rPr>
        <w:t xml:space="preserve">     </w:t>
      </w:r>
      <w:r w:rsidRPr="006617A6">
        <w:t>Разослать:  администрация поселения, архитектурный отдел администрации района, информационный бюллетень</w:t>
      </w:r>
    </w:p>
    <w:p w:rsidR="00976787" w:rsidRDefault="00976787" w:rsidP="00976787">
      <w:pPr>
        <w:rPr>
          <w:szCs w:val="29"/>
        </w:rPr>
      </w:pPr>
    </w:p>
    <w:p w:rsidR="00976787" w:rsidRDefault="00976787" w:rsidP="00976787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</w:t>
      </w:r>
    </w:p>
    <w:p w:rsidR="00976787" w:rsidRDefault="00976787" w:rsidP="00976787">
      <w:pPr>
        <w:rPr>
          <w:sz w:val="28"/>
          <w:szCs w:val="28"/>
        </w:rPr>
      </w:pPr>
    </w:p>
    <w:p w:rsidR="00976787" w:rsidRPr="006B3540" w:rsidRDefault="00976787" w:rsidP="00976787">
      <w:p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lastRenderedPageBreak/>
        <w:t>СОГЛАШЕНИЕ</w:t>
      </w:r>
    </w:p>
    <w:p w:rsidR="00976787" w:rsidRPr="006B3540" w:rsidRDefault="00976787" w:rsidP="00976787">
      <w:p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t xml:space="preserve">о передаче отдельных полномочий по решению вопросов местного значения в сфере градостроительной деятельности </w:t>
      </w:r>
    </w:p>
    <w:p w:rsidR="00976787" w:rsidRPr="006B3540" w:rsidRDefault="00976787" w:rsidP="00976787">
      <w:pPr>
        <w:rPr>
          <w:b/>
          <w:sz w:val="28"/>
          <w:szCs w:val="28"/>
        </w:rPr>
      </w:pPr>
    </w:p>
    <w:p w:rsidR="00976787" w:rsidRPr="006B3540" w:rsidRDefault="00976787" w:rsidP="00976787">
      <w:pPr>
        <w:jc w:val="right"/>
        <w:rPr>
          <w:sz w:val="28"/>
          <w:szCs w:val="28"/>
        </w:rPr>
      </w:pPr>
      <w:r w:rsidRPr="006B3540">
        <w:rPr>
          <w:sz w:val="28"/>
          <w:szCs w:val="28"/>
        </w:rPr>
        <w:tab/>
        <w:t xml:space="preserve">                   « </w:t>
      </w:r>
      <w:r w:rsidRPr="00D065E1">
        <w:rPr>
          <w:sz w:val="28"/>
          <w:szCs w:val="28"/>
        </w:rPr>
        <w:t>01</w:t>
      </w:r>
      <w:r w:rsidRPr="006B3540">
        <w:rPr>
          <w:sz w:val="28"/>
          <w:szCs w:val="28"/>
        </w:rPr>
        <w:t xml:space="preserve">  »  </w:t>
      </w:r>
      <w:r>
        <w:rPr>
          <w:sz w:val="28"/>
          <w:szCs w:val="28"/>
        </w:rPr>
        <w:t>января</w:t>
      </w:r>
      <w:r w:rsidRPr="006B3540">
        <w:rPr>
          <w:sz w:val="28"/>
          <w:szCs w:val="28"/>
        </w:rPr>
        <w:t xml:space="preserve">   2015 года 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            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                    </w:t>
      </w:r>
      <w:proofErr w:type="gramStart"/>
      <w:r w:rsidRPr="006B3540">
        <w:rPr>
          <w:sz w:val="28"/>
          <w:szCs w:val="28"/>
        </w:rPr>
        <w:t xml:space="preserve">Администрация Юрьевского сельского поселения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  <w:r w:rsidRPr="006B3540">
        <w:rPr>
          <w:sz w:val="28"/>
          <w:szCs w:val="28"/>
        </w:rPr>
        <w:t xml:space="preserve"> района Кировской области,  именуемая в дальнейшем – «Поселение» в лице главы администрации  Юрьевского сельского поселения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  <w:r w:rsidRPr="006B3540">
        <w:rPr>
          <w:sz w:val="28"/>
          <w:szCs w:val="28"/>
        </w:rPr>
        <w:t xml:space="preserve"> района  Кировской  области Плотникова Василия Ивановича,  </w:t>
      </w:r>
      <w:r>
        <w:rPr>
          <w:sz w:val="28"/>
          <w:szCs w:val="28"/>
        </w:rPr>
        <w:t>д</w:t>
      </w:r>
      <w:r w:rsidRPr="006B3540">
        <w:rPr>
          <w:sz w:val="28"/>
          <w:szCs w:val="28"/>
        </w:rPr>
        <w:t>ействующ</w:t>
      </w:r>
      <w:r>
        <w:rPr>
          <w:sz w:val="28"/>
          <w:szCs w:val="28"/>
        </w:rPr>
        <w:t xml:space="preserve">ая </w:t>
      </w:r>
      <w:r w:rsidRPr="006B3540">
        <w:rPr>
          <w:sz w:val="28"/>
          <w:szCs w:val="28"/>
        </w:rPr>
        <w:t xml:space="preserve"> на основании Устава муниципального образования  Юрьевское сельское поселение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</w:t>
      </w:r>
      <w:r w:rsidRPr="006B3540">
        <w:rPr>
          <w:sz w:val="28"/>
          <w:szCs w:val="28"/>
        </w:rPr>
        <w:t xml:space="preserve"> района  Кировской области, принятого решением Юрьевской сельской Думы от 07.12.2005 </w:t>
      </w:r>
      <w:r>
        <w:rPr>
          <w:sz w:val="28"/>
          <w:szCs w:val="28"/>
        </w:rPr>
        <w:t xml:space="preserve"> </w:t>
      </w:r>
      <w:r w:rsidRPr="006B3540">
        <w:rPr>
          <w:sz w:val="28"/>
          <w:szCs w:val="28"/>
        </w:rPr>
        <w:t xml:space="preserve">№ 16   с одной стороны и  администрация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  <w:r w:rsidRPr="006B3540">
        <w:rPr>
          <w:sz w:val="28"/>
          <w:szCs w:val="28"/>
        </w:rPr>
        <w:t xml:space="preserve"> района, именуемая в дальнейшем</w:t>
      </w:r>
      <w:r>
        <w:rPr>
          <w:sz w:val="28"/>
          <w:szCs w:val="28"/>
        </w:rPr>
        <w:t xml:space="preserve">        </w:t>
      </w:r>
      <w:r w:rsidRPr="006B3540">
        <w:rPr>
          <w:sz w:val="28"/>
          <w:szCs w:val="28"/>
        </w:rPr>
        <w:t xml:space="preserve"> «Администрация район</w:t>
      </w:r>
      <w:r>
        <w:rPr>
          <w:sz w:val="28"/>
          <w:szCs w:val="28"/>
        </w:rPr>
        <w:t>а</w:t>
      </w:r>
      <w:r w:rsidRPr="006B3540">
        <w:rPr>
          <w:sz w:val="28"/>
          <w:szCs w:val="28"/>
        </w:rPr>
        <w:t>», в</w:t>
      </w:r>
      <w:proofErr w:type="gramEnd"/>
      <w:r w:rsidRPr="006B3540">
        <w:rPr>
          <w:sz w:val="28"/>
          <w:szCs w:val="28"/>
        </w:rPr>
        <w:t xml:space="preserve"> </w:t>
      </w:r>
      <w:proofErr w:type="gramStart"/>
      <w:r w:rsidRPr="006B3540">
        <w:rPr>
          <w:sz w:val="28"/>
          <w:szCs w:val="28"/>
        </w:rPr>
        <w:t xml:space="preserve">лице главы Администрации  района Малковой Надежды Владимировны, действующая  на основании Устава муниципального образования </w:t>
      </w:r>
      <w:proofErr w:type="spellStart"/>
      <w:r w:rsidRPr="006B3540">
        <w:rPr>
          <w:sz w:val="28"/>
          <w:szCs w:val="28"/>
        </w:rPr>
        <w:t>Котельничский</w:t>
      </w:r>
      <w:proofErr w:type="spellEnd"/>
      <w:r w:rsidRPr="006B3540">
        <w:rPr>
          <w:sz w:val="28"/>
          <w:szCs w:val="28"/>
        </w:rPr>
        <w:t xml:space="preserve"> муниципальный район Кировской области, принятого решением </w:t>
      </w:r>
      <w:proofErr w:type="spellStart"/>
      <w:r w:rsidRPr="006B3540">
        <w:rPr>
          <w:sz w:val="28"/>
          <w:szCs w:val="28"/>
        </w:rPr>
        <w:t>Котельничской</w:t>
      </w:r>
      <w:proofErr w:type="spellEnd"/>
      <w:r w:rsidRPr="006B3540">
        <w:rPr>
          <w:sz w:val="28"/>
          <w:szCs w:val="28"/>
        </w:rPr>
        <w:t xml:space="preserve"> районной Думы  Кировской  области от 26.02.2014 №212, Федерального закона от 06.10.2003 №131</w:t>
      </w:r>
      <w:r>
        <w:rPr>
          <w:sz w:val="28"/>
          <w:szCs w:val="28"/>
        </w:rPr>
        <w:t>-ФЗ</w:t>
      </w:r>
      <w:r w:rsidRPr="006B3540">
        <w:rPr>
          <w:sz w:val="28"/>
          <w:szCs w:val="28"/>
        </w:rPr>
        <w:t xml:space="preserve"> « Об общих принципах 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6B3540">
        <w:rPr>
          <w:sz w:val="28"/>
          <w:szCs w:val="28"/>
        </w:rPr>
        <w:t xml:space="preserve">с другой стороны,  вместе в дальнейшем именуемые Стороны, заключили настоящее соглашение о нижеследующем: </w:t>
      </w:r>
      <w:proofErr w:type="gramEnd"/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Pr="00E92E68" w:rsidRDefault="00976787" w:rsidP="00976787">
      <w:pPr>
        <w:numPr>
          <w:ilvl w:val="0"/>
          <w:numId w:val="4"/>
        </w:numPr>
        <w:tabs>
          <w:tab w:val="left" w:pos="360"/>
        </w:tabs>
        <w:jc w:val="center"/>
        <w:rPr>
          <w:sz w:val="28"/>
          <w:szCs w:val="28"/>
        </w:rPr>
      </w:pPr>
      <w:r w:rsidRPr="00E92E68">
        <w:rPr>
          <w:sz w:val="28"/>
          <w:szCs w:val="28"/>
        </w:rPr>
        <w:t>ПРЕДМЕТ СОГЛАШЕНИЯ</w:t>
      </w:r>
    </w:p>
    <w:p w:rsidR="00976787" w:rsidRPr="006B3540" w:rsidRDefault="00976787" w:rsidP="00976787">
      <w:pPr>
        <w:jc w:val="both"/>
        <w:rPr>
          <w:b/>
          <w:sz w:val="28"/>
          <w:szCs w:val="28"/>
        </w:rPr>
      </w:pP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</w:t>
      </w:r>
      <w:r w:rsidRPr="006B3540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6B354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  регулирует отношения, возникающие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6B3540">
        <w:rPr>
          <w:sz w:val="28"/>
          <w:szCs w:val="28"/>
        </w:rPr>
        <w:t>Сторон</w:t>
      </w:r>
      <w:r>
        <w:rPr>
          <w:sz w:val="28"/>
          <w:szCs w:val="28"/>
        </w:rPr>
        <w:t>ами</w:t>
      </w:r>
      <w:r w:rsidRPr="006B35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передачи отдельных полномочий по </w:t>
      </w:r>
      <w:r w:rsidRPr="006B3540">
        <w:rPr>
          <w:sz w:val="28"/>
          <w:szCs w:val="28"/>
        </w:rPr>
        <w:t xml:space="preserve"> решению вопросов местного значения в </w:t>
      </w:r>
      <w:r>
        <w:rPr>
          <w:sz w:val="28"/>
          <w:szCs w:val="28"/>
        </w:rPr>
        <w:t>сфере</w:t>
      </w:r>
      <w:r w:rsidRPr="006B3540">
        <w:rPr>
          <w:sz w:val="28"/>
          <w:szCs w:val="28"/>
        </w:rPr>
        <w:t xml:space="preserve"> градостроительной деятельности</w:t>
      </w:r>
      <w:r>
        <w:rPr>
          <w:sz w:val="28"/>
          <w:szCs w:val="28"/>
        </w:rPr>
        <w:t xml:space="preserve"> Поселения</w:t>
      </w:r>
      <w:r w:rsidRPr="006B35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6B3540">
        <w:rPr>
          <w:sz w:val="28"/>
          <w:szCs w:val="28"/>
        </w:rPr>
        <w:t xml:space="preserve"> частью 4 статьи 15 Федерального  закона</w:t>
      </w:r>
      <w:r w:rsidRPr="004A2B29">
        <w:rPr>
          <w:sz w:val="28"/>
          <w:szCs w:val="28"/>
        </w:rPr>
        <w:t xml:space="preserve"> </w:t>
      </w:r>
      <w:r w:rsidRPr="006B354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статьёй 33 Устава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 области и определяет порядок  передачи Администрации района осуществления части</w:t>
      </w:r>
      <w:proofErr w:type="gramEnd"/>
      <w:r>
        <w:rPr>
          <w:sz w:val="28"/>
          <w:szCs w:val="28"/>
        </w:rPr>
        <w:t xml:space="preserve"> полномочий Поселения.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1.2. Поселение передает, а </w:t>
      </w:r>
      <w:r>
        <w:rPr>
          <w:sz w:val="28"/>
          <w:szCs w:val="28"/>
        </w:rPr>
        <w:t>Администрация р</w:t>
      </w:r>
      <w:r w:rsidRPr="006B354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6B3540">
        <w:rPr>
          <w:sz w:val="28"/>
          <w:szCs w:val="28"/>
        </w:rPr>
        <w:t xml:space="preserve"> принимает к своему </w:t>
      </w:r>
      <w:r>
        <w:rPr>
          <w:sz w:val="28"/>
          <w:szCs w:val="28"/>
        </w:rPr>
        <w:t>ведению</w:t>
      </w:r>
      <w:r w:rsidRPr="006B3540">
        <w:rPr>
          <w:sz w:val="28"/>
          <w:szCs w:val="28"/>
        </w:rPr>
        <w:t xml:space="preserve"> следующие полномочия</w:t>
      </w:r>
      <w:r>
        <w:rPr>
          <w:sz w:val="28"/>
          <w:szCs w:val="28"/>
        </w:rPr>
        <w:t xml:space="preserve"> по решению вопросов местного значения поселения в сфере градостроительной деятельности</w:t>
      </w:r>
      <w:r w:rsidRPr="006B3540">
        <w:rPr>
          <w:sz w:val="28"/>
          <w:szCs w:val="28"/>
        </w:rPr>
        <w:t>: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>1</w:t>
      </w:r>
      <w:r>
        <w:rPr>
          <w:sz w:val="28"/>
          <w:szCs w:val="28"/>
        </w:rPr>
        <w:t xml:space="preserve">.2.1. Участие в организации подготовки и согласования проекта генерального плана Поселения, а также изменения в него, проектов изменений в правила землепользования и застройки Поселения (без права подготовки и принятия решений о подготовке и утверждении таких документов, а также </w:t>
      </w:r>
      <w:r w:rsidRPr="006B3540">
        <w:rPr>
          <w:sz w:val="28"/>
          <w:szCs w:val="28"/>
        </w:rPr>
        <w:t xml:space="preserve">  внесени</w:t>
      </w:r>
      <w:r>
        <w:rPr>
          <w:sz w:val="28"/>
          <w:szCs w:val="28"/>
        </w:rPr>
        <w:t>е</w:t>
      </w:r>
      <w:r w:rsidRPr="006B3540">
        <w:rPr>
          <w:sz w:val="28"/>
          <w:szCs w:val="28"/>
        </w:rPr>
        <w:t xml:space="preserve"> изменений в такие </w:t>
      </w:r>
      <w:r>
        <w:rPr>
          <w:sz w:val="28"/>
          <w:szCs w:val="28"/>
        </w:rPr>
        <w:t>документы);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проведения публичных слушаний по рассмотрению проектов;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комиссии по  землепользованию и застройке территории муниципального образования.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B3540">
        <w:rPr>
          <w:sz w:val="28"/>
          <w:szCs w:val="28"/>
        </w:rPr>
        <w:t>2</w:t>
      </w:r>
      <w:r>
        <w:rPr>
          <w:sz w:val="28"/>
          <w:szCs w:val="28"/>
        </w:rPr>
        <w:t>2. Участие в организации п</w:t>
      </w:r>
      <w:r w:rsidRPr="006B3540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6B3540">
        <w:rPr>
          <w:sz w:val="28"/>
          <w:szCs w:val="28"/>
        </w:rPr>
        <w:t xml:space="preserve">   и согласовани</w:t>
      </w:r>
      <w:r>
        <w:rPr>
          <w:sz w:val="28"/>
          <w:szCs w:val="28"/>
        </w:rPr>
        <w:t>я</w:t>
      </w:r>
      <w:r w:rsidRPr="006B3540">
        <w:rPr>
          <w:sz w:val="28"/>
          <w:szCs w:val="28"/>
        </w:rPr>
        <w:t xml:space="preserve">  проектов </w:t>
      </w:r>
      <w:r>
        <w:rPr>
          <w:sz w:val="28"/>
          <w:szCs w:val="28"/>
        </w:rPr>
        <w:t xml:space="preserve">планировки и проектов межевания территорий (без права подготовки и принятия решений о подготовке и утверждении таких документов, а также </w:t>
      </w:r>
      <w:r w:rsidRPr="006B3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6B354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6B3540">
        <w:rPr>
          <w:sz w:val="28"/>
          <w:szCs w:val="28"/>
        </w:rPr>
        <w:t xml:space="preserve"> изменений в такие </w:t>
      </w:r>
      <w:r>
        <w:rPr>
          <w:sz w:val="28"/>
          <w:szCs w:val="28"/>
        </w:rPr>
        <w:t>документы), содействие в организации проведения публичных слушаний.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B354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Загрузка </w:t>
      </w:r>
      <w:r w:rsidRPr="006B3540">
        <w:rPr>
          <w:sz w:val="28"/>
          <w:szCs w:val="28"/>
        </w:rPr>
        <w:t xml:space="preserve">проекта генерального плана </w:t>
      </w:r>
      <w:r>
        <w:rPr>
          <w:sz w:val="28"/>
          <w:szCs w:val="28"/>
        </w:rPr>
        <w:t>Поселения и материалов  по его обоснованию, утверждённого генерального плана Поселения и материалов по его обоснованию, правил землепользования и застройки Поселения, а также утверждённых изменений в такие документы в федеральную  информационную систему территориального планирования.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B3540">
        <w:rPr>
          <w:sz w:val="28"/>
          <w:szCs w:val="28"/>
        </w:rPr>
        <w:t>4</w:t>
      </w:r>
      <w:r>
        <w:rPr>
          <w:sz w:val="28"/>
          <w:szCs w:val="28"/>
        </w:rPr>
        <w:t>. Подготовка, утверждение и выдача градостроительных планов земельных участков.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3540">
        <w:rPr>
          <w:sz w:val="28"/>
          <w:szCs w:val="28"/>
        </w:rPr>
        <w:t>одготовк</w:t>
      </w:r>
      <w:r>
        <w:rPr>
          <w:sz w:val="28"/>
          <w:szCs w:val="28"/>
        </w:rPr>
        <w:t>а и выдача разрешений на строительство объектов капитального строительства, расположенных на территории Поселения.</w:t>
      </w:r>
      <w:r w:rsidRPr="006B3540">
        <w:rPr>
          <w:sz w:val="28"/>
          <w:szCs w:val="28"/>
        </w:rPr>
        <w:t xml:space="preserve"> 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 П</w:t>
      </w:r>
      <w:r w:rsidRPr="006B354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выдача разрешений  на ввод в эксплуатацию объектов капитального строительства, расположенных на территории Поселения.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 Разработка и утверждение административных регламентов по предоставлению муниципальных услуг по подготовке и выдаче градостроительных планов земельных участков, разрешений на строительство объектов капитального строительства, расположенных на территории Поселения, разрешений на ввод в эксплуатацию объектов капитального строительства, расположенных на территории Поселения.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1.2.8.  Проведение процедуры, связанной с предоставлением разрешений на условно разрешённый вид использования земельного участка и объекта капитального строительства, содействие в организации проведения публичных слушаний,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без права принятия решения о предоставлении разрешения на условно разрешённый вид использования или об отказе в предоставлении такого разрешения).</w:t>
      </w:r>
    </w:p>
    <w:p w:rsidR="00976787" w:rsidRDefault="00976787" w:rsidP="0097678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процедуры, связанной с предоставлением 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разрешений на отклонение от предельных параметров разрешённого строительства, реконструкции объектов капитального строительства,  содействие в организации проведения публичных слушаний, подготовка реконструкций о предоставлении такого разрешения или об отказе в предоставлении такого разрешения с указанием причин принятого решения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без права принятия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разрешения)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1.2.10.</w:t>
      </w:r>
      <w:r w:rsidRPr="00D65E81">
        <w:rPr>
          <w:sz w:val="28"/>
          <w:szCs w:val="28"/>
        </w:rPr>
        <w:t>Передача в департаме</w:t>
      </w:r>
      <w:r>
        <w:rPr>
          <w:sz w:val="28"/>
          <w:szCs w:val="28"/>
        </w:rPr>
        <w:t xml:space="preserve">нт  строительства и архитектуры </w:t>
      </w:r>
      <w:r w:rsidRPr="00D65E81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</w:t>
      </w:r>
      <w:r w:rsidRPr="00D65E81">
        <w:rPr>
          <w:sz w:val="28"/>
          <w:szCs w:val="28"/>
        </w:rPr>
        <w:t xml:space="preserve">области в электронном  виде утверждённого генерального плана Поселения, </w:t>
      </w:r>
      <w:r>
        <w:rPr>
          <w:sz w:val="28"/>
          <w:szCs w:val="28"/>
        </w:rPr>
        <w:t>п</w:t>
      </w:r>
      <w:r w:rsidRPr="00D65E81">
        <w:rPr>
          <w:sz w:val="28"/>
          <w:szCs w:val="28"/>
        </w:rPr>
        <w:t xml:space="preserve">равил землепользования и застройки Поселения, документации по планировке территории Поселения, а также утверждённых изменений в такие документы, с целью занесения  информации в автоматизированную </w:t>
      </w:r>
      <w:r w:rsidRPr="00D65E81">
        <w:rPr>
          <w:sz w:val="28"/>
          <w:szCs w:val="28"/>
        </w:rPr>
        <w:lastRenderedPageBreak/>
        <w:t xml:space="preserve">информационную систему градостроительной деятельности Кировской  области. 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1.2.11. Подготовку проекта местных нормативов градостроительного проектирования Поселения, подготовку и согласование проектов правовых актов по регулированию градостроительной деятельности,  а также  предложений по внесению изменений в такие правовые акты.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1.2.12. Предоставление статистической отчётности: сведения о выданных разрешениях на строительство объектов капитального  строительства, сведений о выданных разрешениях на ввод объектов в эксплуатацию на территории Поселения.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1.2.13. Участие в разработке градостроительных разделов целевых программ.</w:t>
      </w:r>
    </w:p>
    <w:p w:rsidR="00976787" w:rsidRPr="00D65E81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Администрация района обязана осуществлять полномочия, предусмотренные п.1.2. настоящего Соглашения, в соответствии с  требованиями действующего законодательства Российской Федерации.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jc w:val="center"/>
        <w:rPr>
          <w:sz w:val="28"/>
          <w:szCs w:val="28"/>
        </w:rPr>
      </w:pPr>
      <w:r w:rsidRPr="00E92E68">
        <w:rPr>
          <w:sz w:val="28"/>
          <w:szCs w:val="28"/>
        </w:rPr>
        <w:t>2.</w:t>
      </w:r>
      <w:r>
        <w:rPr>
          <w:sz w:val="28"/>
          <w:szCs w:val="28"/>
        </w:rPr>
        <w:t>ПОРЯДОК ОПРЕДЕЛЕНИЯ СУБВЕНЦИЙ</w:t>
      </w:r>
    </w:p>
    <w:p w:rsidR="00976787" w:rsidRPr="00E92E68" w:rsidRDefault="00976787" w:rsidP="00976787">
      <w:pPr>
        <w:jc w:val="center"/>
        <w:rPr>
          <w:sz w:val="28"/>
          <w:szCs w:val="28"/>
        </w:rPr>
      </w:pP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2.1  </w:t>
      </w:r>
      <w:r>
        <w:rPr>
          <w:sz w:val="28"/>
          <w:szCs w:val="28"/>
        </w:rPr>
        <w:t>Выполнение части</w:t>
      </w:r>
      <w:r w:rsidRPr="006B3540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 в сфере градостроительной деятельности </w:t>
      </w:r>
      <w:r w:rsidRPr="006B3540">
        <w:rPr>
          <w:sz w:val="28"/>
          <w:szCs w:val="28"/>
        </w:rPr>
        <w:t xml:space="preserve">осуществляется  за счет  </w:t>
      </w:r>
      <w:r>
        <w:rPr>
          <w:sz w:val="28"/>
          <w:szCs w:val="28"/>
        </w:rPr>
        <w:t>меж</w:t>
      </w:r>
      <w:r w:rsidRPr="006B3540">
        <w:rPr>
          <w:sz w:val="28"/>
          <w:szCs w:val="28"/>
        </w:rPr>
        <w:t>бюджет</w:t>
      </w:r>
      <w:r>
        <w:rPr>
          <w:sz w:val="28"/>
          <w:szCs w:val="28"/>
        </w:rPr>
        <w:t>ных трансфертов, ежегодно передаваемых из бюджета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3540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в районный бюджет. 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Расчёт объёма  межбюджетных трансфертов, необходимых для осуществления указанных  полномочий, устанавливается согласно приложению к настоящему Соглашению.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Неиспользованный остаток межбюджетных  трансфертов,  полученных районным бюджетом из бюджета Поселения по завершению финансового года, подлежит возврату в бюджет Поселения.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>2.</w:t>
      </w:r>
      <w:r>
        <w:rPr>
          <w:sz w:val="28"/>
          <w:szCs w:val="28"/>
        </w:rPr>
        <w:t xml:space="preserve">4 </w:t>
      </w:r>
      <w:r w:rsidRPr="006B3540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района запрещает использование финансовых средств, полученных на осуществление указанных в п.1.2  настоящего Соглашения полномочий, на иные цели.</w:t>
      </w:r>
    </w:p>
    <w:p w:rsidR="00976787" w:rsidRPr="000D50C3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Суммарный объём межбюджетных трансфертов, передаваемых на  выполнение части полномочий из бюджета Поселения в районный бюджет, </w:t>
      </w:r>
      <w:r w:rsidRPr="000D50C3">
        <w:rPr>
          <w:sz w:val="28"/>
          <w:szCs w:val="28"/>
        </w:rPr>
        <w:t xml:space="preserve">составляет  сто </w:t>
      </w:r>
      <w:r>
        <w:rPr>
          <w:sz w:val="28"/>
          <w:szCs w:val="28"/>
        </w:rPr>
        <w:t>семьдесят</w:t>
      </w:r>
      <w:r w:rsidRPr="000D50C3">
        <w:rPr>
          <w:sz w:val="28"/>
          <w:szCs w:val="28"/>
        </w:rPr>
        <w:t xml:space="preserve">  рублей.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Pr="006B3540" w:rsidRDefault="00976787" w:rsidP="0097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3.ПРАВА И </w:t>
      </w:r>
      <w:r w:rsidRPr="006B3540">
        <w:rPr>
          <w:b/>
          <w:sz w:val="28"/>
          <w:szCs w:val="28"/>
        </w:rPr>
        <w:t>ОБЯЗА</w:t>
      </w:r>
      <w:r>
        <w:rPr>
          <w:b/>
          <w:sz w:val="28"/>
          <w:szCs w:val="28"/>
        </w:rPr>
        <w:t xml:space="preserve">ННОСТИ </w:t>
      </w:r>
      <w:r w:rsidRPr="006B3540">
        <w:rPr>
          <w:b/>
          <w:sz w:val="28"/>
          <w:szCs w:val="28"/>
        </w:rPr>
        <w:t>СТОРОН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Поселение имеет право: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получать информацию о ходе  исполнения переданных полномочий;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осуществлять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Поселение обязано: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участвовать в работе создаваемых для осуществления переданных полномочий комиссий, рабочих групп и иных совещательных органов, в том </w:t>
      </w:r>
      <w:r>
        <w:rPr>
          <w:sz w:val="28"/>
          <w:szCs w:val="28"/>
        </w:rPr>
        <w:lastRenderedPageBreak/>
        <w:t>числе в комиссии по землепользованию и застройке;</w:t>
      </w:r>
      <w:proofErr w:type="gramEnd"/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уведомлять Администрацию района о принятых решениях по разработке генерального плана Поселения, внесения изменений в генеральный план Поселения, внесения изменений в правила землепользования и застройки Поселения с передачей документов, необходимых для осуществления переданных полномочий;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представлять имеющуюся информацию, необходимую для осуществления переданных полномочий на основании запроса Администрации района;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передавать  в Администрацию района по одному экземпляру в бумажном и электронном виде утверждённого генерального плана Поселения, правил землепользования и застройки Поселения, а также копии решений  представительного органа  Поселения об утверждении указанных документов и изменений в эти документы,   в целях их размещения в информационной системе обеспечения градостроительной деятельности Администрации района, направления копий таких документов в департамент строительства и архитектуры Кировской  области</w:t>
      </w:r>
      <w:proofErr w:type="gramEnd"/>
      <w:r>
        <w:rPr>
          <w:sz w:val="28"/>
          <w:szCs w:val="28"/>
        </w:rPr>
        <w:t xml:space="preserve"> в соответствии с пунктом 2 части 4 статьи 8.1. Градостроительного кодекса Российской Федерации;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передавать  в Администрацию района по одному экземпляру в бумажном и электронном виде утверждённой документации по планировке территории,  изменений в такую документацию, а также копии правовых актов Поселения об утверждении указанной документации и изменений в эту  документацию, в целях размещения её в информационной системе обеспечения  градостроительной деятельности Администрации района, направления копий  таких документов в департамент строительства и архитектуры Кировской 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её размещения в автоматизированной информационной системе обеспечения градостроительной деятельности Кировской  области;</w:t>
      </w:r>
    </w:p>
    <w:p w:rsidR="00976787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передавать  в Администрацию района копии правовых актов Поселения о предоставлении разрешений на условно разрешённый вид использования земельного участка и объекта капитального строительства, и разрешений на отклонение от предельных параметров разрешённого строительства, реконструкции земельных участков и объектов капитального строительства;</w:t>
      </w:r>
    </w:p>
    <w:p w:rsidR="00976787" w:rsidRPr="006B3540" w:rsidRDefault="00976787" w:rsidP="00976787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ежегодно, не позднее 01 июля текущего года перечислять денежные средства в районный бюджет в виде межбюджетных трансфертов из бюджета Поселения единовременно.</w:t>
      </w:r>
    </w:p>
    <w:p w:rsidR="00976787" w:rsidRDefault="00976787" w:rsidP="00976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3.3.Администрация района имеет право: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необходимости направлять предложения в Поселение по разработке генерального плана Поселения, внесению изменений в генеральный план Поселения, внесению изменений в правила землепользования и застройки Поселения для принятия  решений  представительным органом  Поселения по таким предложениям;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требовать от Поселения сведений и документов, необходимых  для исполнения принятых  полномочий;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 неисполнения  Поселением предусмотренных настоящим Соглашением обстоятельств по финансированию осуществления Администрацией района переданных ей полномочий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перечисление, неполное  перечисление, несвоевременное перечисление финансовых  </w:t>
      </w:r>
      <w:r>
        <w:rPr>
          <w:sz w:val="28"/>
          <w:szCs w:val="28"/>
        </w:rPr>
        <w:lastRenderedPageBreak/>
        <w:t>средств).  Администрация района вправе  приостанавливать на срок до 1 месяца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 окончании указанного срока прекратить исполнение переданных по настоящему Соглашению полномочий и применить  к Поселению меры ответственности  в соответствии с действующим законодательством;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использовать собственные денежные средства на осуществление переданных Поселением полномочий.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Администрация района обязана: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осуществлять в соответствии с действующим Соглашением переданные ей Поселением полномочия;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передавать информацию, либо копии выданных градостроительных планов,  разрешений на строительство объектов капитального строительства и разрешений на ввод в эксплуатацию  объектов капитального строительства;</w:t>
      </w: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направлять  поступившие  финансовые средства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межбюджетные трансферты) в полном объёме на осуществление переданных полномочий, обеспечивая их целевое использование.</w:t>
      </w:r>
    </w:p>
    <w:p w:rsidR="00976787" w:rsidRPr="009650B2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</w:t>
      </w:r>
      <w:r w:rsidRPr="006B3540">
        <w:rPr>
          <w:b/>
          <w:sz w:val="28"/>
          <w:szCs w:val="28"/>
        </w:rPr>
        <w:t xml:space="preserve"> СТРОН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 Стороны осуществляют деятельность по выполнению  настоящего Соглашения с учётом соблюдения интересов населения муниципального района.</w:t>
      </w:r>
    </w:p>
    <w:p w:rsidR="00976787" w:rsidRDefault="00976787" w:rsidP="00976787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ED0946">
        <w:rPr>
          <w:sz w:val="28"/>
          <w:szCs w:val="28"/>
        </w:rPr>
        <w:t>В случае необходимости Стороны проводят совместные совещания о ходе выполнения мероприятий в рамках настоящего  Соглашения с участием представителей Сторон и заинтересованных организаций.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Pr="006B3540" w:rsidRDefault="00976787" w:rsidP="009767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t>ОТВЕТСТВЕННОСТЬ СТОРОН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 Поселением вытекающих из настоящего Соглашения обязательств по финансированию  осуществления Администрацией района переданных ей полномочий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района вправе требовать расторжения данного Соглашения.</w:t>
      </w:r>
    </w:p>
    <w:p w:rsidR="00976787" w:rsidRDefault="00976787" w:rsidP="0097678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ненадлежащего осуществления Администрацией района переданных ей полномочий является основанием для расторжения данного   Соглашения в одностороннем порядке</w:t>
      </w:r>
    </w:p>
    <w:p w:rsidR="00976787" w:rsidRDefault="00976787" w:rsidP="00976787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отказом от  исполнения Соглашения).</w:t>
      </w:r>
    </w:p>
    <w:p w:rsidR="00976787" w:rsidRDefault="00976787" w:rsidP="0097678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Соглашения  влечёт за собой  обязанность Администрации района  по возврату перечисленных межбюджетных трансфертов.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Pr="006B3540" w:rsidRDefault="00976787" w:rsidP="009767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t>ПОРЯДОК РАЗРЕШЕНИЯ СПОРОВ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3540">
        <w:rPr>
          <w:sz w:val="28"/>
          <w:szCs w:val="28"/>
        </w:rPr>
        <w:t xml:space="preserve">.1. Все возможные споры, возникающие между </w:t>
      </w:r>
      <w:r>
        <w:rPr>
          <w:sz w:val="28"/>
          <w:szCs w:val="28"/>
        </w:rPr>
        <w:t>С</w:t>
      </w:r>
      <w:r w:rsidRPr="006B3540">
        <w:rPr>
          <w:sz w:val="28"/>
          <w:szCs w:val="28"/>
        </w:rPr>
        <w:t xml:space="preserve">торонами по настоящему </w:t>
      </w:r>
      <w:r>
        <w:rPr>
          <w:sz w:val="28"/>
          <w:szCs w:val="28"/>
        </w:rPr>
        <w:t>С</w:t>
      </w:r>
      <w:r w:rsidRPr="006B3540">
        <w:rPr>
          <w:sz w:val="28"/>
          <w:szCs w:val="28"/>
        </w:rPr>
        <w:t>оглашению, будут разрешаться ими путем переговоров.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3540">
        <w:rPr>
          <w:sz w:val="28"/>
          <w:szCs w:val="28"/>
        </w:rPr>
        <w:t xml:space="preserve">.2. В случае </w:t>
      </w:r>
      <w:proofErr w:type="spellStart"/>
      <w:r w:rsidRPr="006B3540">
        <w:rPr>
          <w:sz w:val="28"/>
          <w:szCs w:val="28"/>
        </w:rPr>
        <w:t>неурегулирования</w:t>
      </w:r>
      <w:proofErr w:type="spellEnd"/>
      <w:r w:rsidRPr="006B3540">
        <w:rPr>
          <w:sz w:val="28"/>
          <w:szCs w:val="28"/>
        </w:rPr>
        <w:t xml:space="preserve"> возникшего спора Стороны разрешают его в судебном порядке в соответствии с действующим законодательством. 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Pr="006B3540" w:rsidRDefault="00976787" w:rsidP="009767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t>СРОК ДЕЙСТВИЯ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6B3540">
        <w:rPr>
          <w:sz w:val="28"/>
          <w:szCs w:val="28"/>
        </w:rPr>
        <w:t xml:space="preserve"> Соглашение вступает в силу с </w:t>
      </w:r>
      <w:r>
        <w:rPr>
          <w:sz w:val="28"/>
          <w:szCs w:val="28"/>
        </w:rPr>
        <w:t>01.01.2015</w:t>
      </w:r>
      <w:r w:rsidRPr="006B3540">
        <w:rPr>
          <w:sz w:val="28"/>
          <w:szCs w:val="28"/>
        </w:rPr>
        <w:t xml:space="preserve"> года и действует до 31 декабря 201</w:t>
      </w:r>
      <w:r>
        <w:rPr>
          <w:sz w:val="28"/>
          <w:szCs w:val="28"/>
        </w:rPr>
        <w:t>5</w:t>
      </w:r>
      <w:r w:rsidRPr="006B354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Д</w:t>
      </w:r>
      <w:r w:rsidRPr="006B3540">
        <w:rPr>
          <w:sz w:val="28"/>
          <w:szCs w:val="28"/>
        </w:rPr>
        <w:t>ействи</w:t>
      </w:r>
      <w:r>
        <w:rPr>
          <w:sz w:val="28"/>
          <w:szCs w:val="28"/>
        </w:rPr>
        <w:t xml:space="preserve">е </w:t>
      </w:r>
      <w:r w:rsidRPr="006B3540">
        <w:rPr>
          <w:sz w:val="28"/>
          <w:szCs w:val="28"/>
        </w:rPr>
        <w:t xml:space="preserve">настоящего Соглашения </w:t>
      </w:r>
      <w:r>
        <w:rPr>
          <w:sz w:val="28"/>
          <w:szCs w:val="28"/>
        </w:rPr>
        <w:t xml:space="preserve">может быть прекращено 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соглашению сторон, а также в случае неисполнения или ненадлежащего исполнения одной из Сторон своих обязательств в соответствии  с настоящим  Соглашением.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Pr="006B3540" w:rsidRDefault="00976787" w:rsidP="009767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40">
        <w:rPr>
          <w:b/>
          <w:sz w:val="28"/>
          <w:szCs w:val="28"/>
        </w:rPr>
        <w:t>ЗАКЛЮЧИТЕЛЬНЫЕ ПОЛОЖЕНИЯ</w:t>
      </w:r>
    </w:p>
    <w:p w:rsidR="00976787" w:rsidRPr="006B3540" w:rsidRDefault="00976787" w:rsidP="00976787">
      <w:pPr>
        <w:jc w:val="both"/>
        <w:rPr>
          <w:sz w:val="28"/>
          <w:szCs w:val="28"/>
        </w:rPr>
      </w:pP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</w:t>
      </w:r>
      <w:r w:rsidRPr="006B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составлено в двух экземплярах, имеющих равную  юридическую силу, </w:t>
      </w:r>
      <w:r w:rsidRPr="006B3540">
        <w:rPr>
          <w:sz w:val="28"/>
          <w:szCs w:val="28"/>
        </w:rPr>
        <w:t>по одному для каждой</w:t>
      </w:r>
      <w:r>
        <w:rPr>
          <w:sz w:val="28"/>
          <w:szCs w:val="28"/>
        </w:rPr>
        <w:t xml:space="preserve"> из </w:t>
      </w:r>
      <w:r w:rsidRPr="006B3540">
        <w:rPr>
          <w:sz w:val="28"/>
          <w:szCs w:val="28"/>
        </w:rPr>
        <w:t xml:space="preserve"> Сторон. 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 изменений  и дополнений  в настоящее Соглашение осуществляется  путём подписания  Сторонами дополнительных  соглашений. 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являются  неотъемлемой частью  настоящего Соглашения с момента их подписания.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 с исполнением настоящего Соглашения, разрешаются путём переговоров или в судебном порядке.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976787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Default="00976787" w:rsidP="00976787">
      <w:pPr>
        <w:ind w:firstLine="567"/>
        <w:jc w:val="both"/>
        <w:rPr>
          <w:sz w:val="28"/>
          <w:szCs w:val="28"/>
        </w:rPr>
      </w:pP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6787" w:rsidRPr="006B3540" w:rsidRDefault="00976787" w:rsidP="009767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И ПОДПИСИ</w:t>
      </w:r>
      <w:r w:rsidRPr="006B3540">
        <w:rPr>
          <w:b/>
          <w:sz w:val="28"/>
          <w:szCs w:val="28"/>
        </w:rPr>
        <w:t xml:space="preserve"> СТОРОН </w:t>
      </w:r>
    </w:p>
    <w:p w:rsidR="00976787" w:rsidRPr="006B3540" w:rsidRDefault="00976787" w:rsidP="0097678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61"/>
        <w:gridCol w:w="4261"/>
      </w:tblGrid>
      <w:tr w:rsidR="00976787" w:rsidRPr="006B3540" w:rsidTr="00574A88">
        <w:tc>
          <w:tcPr>
            <w:tcW w:w="4261" w:type="dxa"/>
          </w:tcPr>
          <w:p w:rsidR="00976787" w:rsidRPr="006B3540" w:rsidRDefault="00976787" w:rsidP="00574A88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6B3540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B3540">
              <w:rPr>
                <w:b/>
                <w:sz w:val="28"/>
                <w:szCs w:val="28"/>
              </w:rPr>
              <w:t>Юрьевского</w:t>
            </w:r>
            <w:proofErr w:type="gramEnd"/>
          </w:p>
          <w:p w:rsidR="00976787" w:rsidRPr="006B3540" w:rsidRDefault="00976787" w:rsidP="00574A88">
            <w:pPr>
              <w:snapToGrid w:val="0"/>
              <w:rPr>
                <w:b/>
                <w:sz w:val="28"/>
                <w:szCs w:val="28"/>
              </w:rPr>
            </w:pPr>
            <w:r w:rsidRPr="006B3540">
              <w:rPr>
                <w:b/>
                <w:sz w:val="28"/>
                <w:szCs w:val="28"/>
              </w:rPr>
              <w:t>сельского поселения</w:t>
            </w: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  <w:r w:rsidRPr="006B3540">
              <w:rPr>
                <w:sz w:val="28"/>
                <w:szCs w:val="28"/>
              </w:rPr>
              <w:t>Глава администрации</w:t>
            </w:r>
          </w:p>
          <w:p w:rsidR="00976787" w:rsidRDefault="00976787" w:rsidP="0057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</w:t>
            </w:r>
            <w:r w:rsidRPr="006B3540">
              <w:rPr>
                <w:sz w:val="28"/>
                <w:szCs w:val="28"/>
              </w:rPr>
              <w:t>ого сельского</w:t>
            </w: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  <w:r w:rsidRPr="006B3540">
              <w:rPr>
                <w:sz w:val="28"/>
                <w:szCs w:val="28"/>
              </w:rPr>
              <w:t xml:space="preserve"> поселения</w:t>
            </w: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6B3540">
              <w:rPr>
                <w:sz w:val="28"/>
                <w:szCs w:val="28"/>
              </w:rPr>
              <w:t>В.И.Плотников</w:t>
            </w:r>
          </w:p>
          <w:p w:rsidR="00976787" w:rsidRPr="006B3540" w:rsidRDefault="00976787" w:rsidP="00574A88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261" w:type="dxa"/>
          </w:tcPr>
          <w:p w:rsidR="00976787" w:rsidRPr="006B3540" w:rsidRDefault="00976787" w:rsidP="00574A88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6B354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76787" w:rsidRPr="006B3540" w:rsidRDefault="00976787" w:rsidP="00574A88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6B3540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Pr="006B3540">
              <w:rPr>
                <w:b/>
                <w:sz w:val="28"/>
                <w:szCs w:val="28"/>
              </w:rPr>
              <w:t xml:space="preserve"> района</w:t>
            </w: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  <w:r w:rsidRPr="006B3540">
              <w:rPr>
                <w:sz w:val="28"/>
                <w:szCs w:val="28"/>
              </w:rPr>
              <w:t>Глава администрации</w:t>
            </w:r>
          </w:p>
          <w:p w:rsidR="00976787" w:rsidRDefault="00976787" w:rsidP="00574A88">
            <w:pPr>
              <w:rPr>
                <w:sz w:val="28"/>
                <w:szCs w:val="28"/>
              </w:rPr>
            </w:pPr>
            <w:proofErr w:type="spellStart"/>
            <w:r w:rsidRPr="006B3540">
              <w:rPr>
                <w:sz w:val="28"/>
                <w:szCs w:val="28"/>
              </w:rPr>
              <w:t>Котельничского</w:t>
            </w:r>
            <w:proofErr w:type="spellEnd"/>
            <w:r w:rsidRPr="006B3540">
              <w:rPr>
                <w:sz w:val="28"/>
                <w:szCs w:val="28"/>
              </w:rPr>
              <w:t xml:space="preserve"> района</w:t>
            </w: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</w:p>
          <w:p w:rsidR="00976787" w:rsidRPr="006B3540" w:rsidRDefault="00976787" w:rsidP="00574A88">
            <w:pPr>
              <w:rPr>
                <w:sz w:val="28"/>
                <w:szCs w:val="28"/>
              </w:rPr>
            </w:pPr>
          </w:p>
          <w:p w:rsidR="00976787" w:rsidRPr="006B3540" w:rsidRDefault="00976787" w:rsidP="00574A88">
            <w:pPr>
              <w:rPr>
                <w:kern w:val="2"/>
                <w:sz w:val="28"/>
                <w:szCs w:val="28"/>
              </w:rPr>
            </w:pPr>
            <w:r w:rsidRPr="006B3540">
              <w:rPr>
                <w:sz w:val="28"/>
                <w:szCs w:val="28"/>
              </w:rPr>
              <w:t>______________ Н.В.Малкова</w:t>
            </w:r>
          </w:p>
        </w:tc>
      </w:tr>
    </w:tbl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Согласовано: 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>гл. специалист,  юрисконсульт</w:t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администрации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  <w:r w:rsidRPr="006B35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__________</w:t>
      </w:r>
      <w:r w:rsidRPr="006B3540">
        <w:rPr>
          <w:sz w:val="28"/>
          <w:szCs w:val="28"/>
        </w:rPr>
        <w:t xml:space="preserve">Т.Д. </w:t>
      </w:r>
      <w:proofErr w:type="spellStart"/>
      <w:r w:rsidRPr="006B3540">
        <w:rPr>
          <w:sz w:val="28"/>
          <w:szCs w:val="28"/>
        </w:rPr>
        <w:t>Ветошкина</w:t>
      </w:r>
      <w:proofErr w:type="spellEnd"/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  <w:r w:rsidRPr="006B3540">
        <w:rPr>
          <w:sz w:val="28"/>
          <w:szCs w:val="28"/>
        </w:rPr>
        <w:tab/>
      </w:r>
    </w:p>
    <w:p w:rsidR="00976787" w:rsidRPr="006B3540" w:rsidRDefault="00976787" w:rsidP="00976787">
      <w:pPr>
        <w:ind w:firstLine="567"/>
        <w:jc w:val="both"/>
        <w:rPr>
          <w:sz w:val="28"/>
          <w:szCs w:val="28"/>
        </w:rPr>
      </w:pPr>
      <w:r w:rsidRPr="006B3540">
        <w:rPr>
          <w:sz w:val="28"/>
          <w:szCs w:val="28"/>
        </w:rPr>
        <w:t xml:space="preserve">Заместитель главы администрации </w:t>
      </w:r>
      <w:proofErr w:type="spellStart"/>
      <w:r w:rsidRPr="006B3540">
        <w:rPr>
          <w:sz w:val="28"/>
          <w:szCs w:val="28"/>
        </w:rPr>
        <w:t>Котельничского</w:t>
      </w:r>
      <w:proofErr w:type="spellEnd"/>
    </w:p>
    <w:p w:rsidR="00976787" w:rsidRDefault="00976787" w:rsidP="00976787">
      <w:pPr>
        <w:rPr>
          <w:sz w:val="28"/>
          <w:szCs w:val="28"/>
        </w:rPr>
      </w:pPr>
      <w:r w:rsidRPr="006B3540">
        <w:rPr>
          <w:sz w:val="28"/>
          <w:szCs w:val="28"/>
        </w:rPr>
        <w:t>района, начальник финансового управления</w:t>
      </w:r>
      <w:r>
        <w:rPr>
          <w:sz w:val="28"/>
          <w:szCs w:val="28"/>
        </w:rPr>
        <w:t xml:space="preserve"> ___________    </w:t>
      </w:r>
      <w:proofErr w:type="spellStart"/>
      <w:r>
        <w:rPr>
          <w:sz w:val="28"/>
          <w:szCs w:val="28"/>
        </w:rPr>
        <w:t>С.Н.Коротаева</w:t>
      </w:r>
      <w:proofErr w:type="spellEnd"/>
    </w:p>
    <w:p w:rsidR="00976787" w:rsidRDefault="00976787" w:rsidP="00976787">
      <w:pPr>
        <w:snapToGrid w:val="0"/>
        <w:rPr>
          <w:rFonts w:ascii="Arial" w:hAnsi="Arial" w:cs="Arial"/>
          <w:color w:val="000000"/>
          <w:kern w:val="2"/>
          <w:sz w:val="28"/>
          <w:szCs w:val="28"/>
        </w:rPr>
        <w:sectPr w:rsidR="00976787" w:rsidSect="00976787">
          <w:pgSz w:w="11906" w:h="16838"/>
          <w:pgMar w:top="993" w:right="850" w:bottom="993" w:left="1701" w:header="708" w:footer="708" w:gutter="0"/>
          <w:cols w:space="720"/>
        </w:sectPr>
      </w:pPr>
    </w:p>
    <w:tbl>
      <w:tblPr>
        <w:tblW w:w="15855" w:type="dxa"/>
        <w:tblInd w:w="-17" w:type="dxa"/>
        <w:tblLayout w:type="fixed"/>
        <w:tblLook w:val="04A0"/>
      </w:tblPr>
      <w:tblGrid>
        <w:gridCol w:w="3295"/>
        <w:gridCol w:w="1702"/>
        <w:gridCol w:w="2552"/>
        <w:gridCol w:w="260"/>
        <w:gridCol w:w="1001"/>
        <w:gridCol w:w="50"/>
        <w:gridCol w:w="4673"/>
        <w:gridCol w:w="254"/>
        <w:gridCol w:w="698"/>
        <w:gridCol w:w="861"/>
        <w:gridCol w:w="459"/>
        <w:gridCol w:w="20"/>
        <w:gridCol w:w="30"/>
      </w:tblGrid>
      <w:tr w:rsidR="00976787" w:rsidRPr="006B3540" w:rsidTr="00574A88">
        <w:trPr>
          <w:trHeight w:val="1025"/>
        </w:trPr>
        <w:tc>
          <w:tcPr>
            <w:tcW w:w="78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Default="00976787" w:rsidP="00574A8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976787" w:rsidRDefault="00976787" w:rsidP="00574A88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76787" w:rsidRPr="0053414F" w:rsidRDefault="00976787" w:rsidP="00574A88">
            <w:pPr>
              <w:snapToGrid w:val="0"/>
              <w:rPr>
                <w:color w:val="000000"/>
                <w:kern w:val="2"/>
              </w:rPr>
            </w:pPr>
            <w:r w:rsidRPr="0053414F">
              <w:rPr>
                <w:color w:val="000000"/>
              </w:rPr>
              <w:t>Приложение к Соглашению о передаче отдельных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9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trHeight w:val="360"/>
        </w:trPr>
        <w:tc>
          <w:tcPr>
            <w:tcW w:w="78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gridAfter w:val="1"/>
          <w:wAfter w:w="30" w:type="dxa"/>
          <w:trHeight w:val="360"/>
        </w:trPr>
        <w:tc>
          <w:tcPr>
            <w:tcW w:w="158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gridAfter w:val="1"/>
          <w:wAfter w:w="30" w:type="dxa"/>
          <w:trHeight w:val="360"/>
        </w:trPr>
        <w:tc>
          <w:tcPr>
            <w:tcW w:w="158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средств межбюджетных трансфертов на оплату переданных полномочий в 201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году</w:t>
            </w:r>
          </w:p>
          <w:p w:rsidR="00976787" w:rsidRPr="006B3540" w:rsidRDefault="00976787" w:rsidP="00574A88">
            <w:pPr>
              <w:jc w:val="center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Юрьевским сельским поселением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87" w:rsidRPr="006B3540" w:rsidRDefault="00976787" w:rsidP="00574A88">
            <w:pPr>
              <w:snapToGri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gridAfter w:val="3"/>
          <w:wAfter w:w="509" w:type="dxa"/>
          <w:trHeight w:val="103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Наименование муниципального района, городского округа, поселения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76787" w:rsidRPr="006B3540" w:rsidTr="00574A88">
        <w:trPr>
          <w:gridAfter w:val="3"/>
          <w:wAfter w:w="509" w:type="dxa"/>
          <w:trHeight w:val="25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76787" w:rsidRPr="006B3540" w:rsidTr="00574A88">
        <w:trPr>
          <w:gridAfter w:val="3"/>
          <w:wAfter w:w="509" w:type="dxa"/>
          <w:cantSplit/>
          <w:trHeight w:val="2384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Юрьевское сельское поселение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 xml:space="preserve">Расстояние (км) от Котельнича до Вашего поселения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количество поездок в год (раз)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расход бензина на 100 км (л) для  а/м УАЗ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стоимость 1 л бензина (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финансовый норматив</w:t>
            </w:r>
            <w:proofErr w:type="gramStart"/>
            <w:r w:rsidRPr="006B354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B3540">
              <w:rPr>
                <w:color w:val="000000"/>
                <w:sz w:val="28"/>
                <w:szCs w:val="28"/>
              </w:rPr>
              <w:t xml:space="preserve"> 100% =</w:t>
            </w:r>
          </w:p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 xml:space="preserve">22 км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B35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16,7л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38,60</w:t>
            </w:r>
            <w:r w:rsidRPr="006B354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B3540">
              <w:rPr>
                <w:color w:val="000000"/>
                <w:sz w:val="28"/>
                <w:szCs w:val="28"/>
              </w:rPr>
              <w:t xml:space="preserve"> 0,2</w:t>
            </w:r>
            <w:proofErr w:type="gramStart"/>
            <w:r w:rsidRPr="006B354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B3540">
              <w:rPr>
                <w:color w:val="000000"/>
                <w:sz w:val="28"/>
                <w:szCs w:val="28"/>
              </w:rPr>
              <w:t xml:space="preserve"> 100% = </w:t>
            </w:r>
            <w:r>
              <w:rPr>
                <w:color w:val="000000"/>
                <w:sz w:val="28"/>
                <w:szCs w:val="28"/>
              </w:rPr>
              <w:t>170</w:t>
            </w:r>
            <w:r w:rsidRPr="006B35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540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</w:tr>
      <w:tr w:rsidR="00976787" w:rsidRPr="006B3540" w:rsidTr="00574A88">
        <w:trPr>
          <w:gridAfter w:val="3"/>
          <w:wAfter w:w="509" w:type="dxa"/>
          <w:cantSplit/>
        </w:trPr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787" w:rsidRPr="006B3540" w:rsidRDefault="00976787" w:rsidP="00574A88">
            <w:pPr>
              <w:widowControl/>
              <w:suppressAutoHyphens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right"/>
              <w:rPr>
                <w:color w:val="000000"/>
                <w:kern w:val="2"/>
                <w:sz w:val="28"/>
                <w:szCs w:val="28"/>
              </w:rPr>
            </w:pPr>
            <w:r w:rsidRPr="006B354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</w:tr>
      <w:tr w:rsidR="00976787" w:rsidRPr="006B3540" w:rsidTr="00574A88">
        <w:trPr>
          <w:trHeight w:val="192"/>
        </w:trPr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trHeight w:val="300"/>
        </w:trPr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76787" w:rsidRPr="006B3540" w:rsidTr="00574A88">
        <w:trPr>
          <w:trHeight w:val="255"/>
        </w:trPr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 w:rsidRPr="006B3540">
              <w:rPr>
                <w:rFonts w:ascii="Arial" w:hAnsi="Arial" w:cs="Arial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623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787" w:rsidRPr="006B3540" w:rsidRDefault="00976787" w:rsidP="00574A88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В.И.Плотников</w:t>
            </w:r>
          </w:p>
        </w:tc>
        <w:tc>
          <w:tcPr>
            <w:tcW w:w="20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787" w:rsidRPr="006B3540" w:rsidRDefault="00976787" w:rsidP="00574A88">
            <w:pPr>
              <w:snapToGrid w:val="0"/>
              <w:rPr>
                <w:rFonts w:ascii="Arial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787" w:rsidRPr="006B3540" w:rsidRDefault="00976787" w:rsidP="00574A88">
            <w:pPr>
              <w:snapToGrid w:val="0"/>
              <w:rPr>
                <w:kern w:val="2"/>
                <w:sz w:val="28"/>
                <w:szCs w:val="28"/>
              </w:rPr>
            </w:pPr>
          </w:p>
        </w:tc>
      </w:tr>
    </w:tbl>
    <w:p w:rsidR="00642F62" w:rsidRDefault="00642F62"/>
    <w:sectPr w:rsidR="00642F62" w:rsidSect="009767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F64D8B"/>
    <w:multiLevelType w:val="multilevel"/>
    <w:tmpl w:val="A028A8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45F23D7"/>
    <w:multiLevelType w:val="multilevel"/>
    <w:tmpl w:val="DFAA3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766660"/>
    <w:multiLevelType w:val="multilevel"/>
    <w:tmpl w:val="27846B0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CA63E12"/>
    <w:multiLevelType w:val="multilevel"/>
    <w:tmpl w:val="2FA65E8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87"/>
    <w:rsid w:val="004D4215"/>
    <w:rsid w:val="00642F62"/>
    <w:rsid w:val="009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67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2465</Words>
  <Characters>14054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2015-03-11T11:26:00Z</dcterms:created>
  <dcterms:modified xsi:type="dcterms:W3CDTF">2015-03-11T11:26:00Z</dcterms:modified>
</cp:coreProperties>
</file>